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right"/>
        <w:rPr/>
      </w:pPr>
      <w:r w:rsidDel="00000000" w:rsidR="00000000" w:rsidRPr="00000000">
        <w:rPr>
          <w:rtl w:val="0"/>
        </w:rPr>
        <w:t xml:space="preserve">Администрация Президента РФ</w:t>
      </w:r>
    </w:p>
    <w:p w:rsidR="00000000" w:rsidDel="00000000" w:rsidP="00000000" w:rsidRDefault="00000000" w:rsidRPr="00000000" w14:paraId="00000002">
      <w:pPr>
        <w:spacing w:line="360" w:lineRule="auto"/>
        <w:jc w:val="right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http://letters.kremlin.ru/letters/send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right"/>
        <w:rPr/>
      </w:pPr>
      <w:r w:rsidDel="00000000" w:rsidR="00000000" w:rsidRPr="00000000">
        <w:rPr>
          <w:rtl w:val="0"/>
        </w:rPr>
        <w:t xml:space="preserve">Министру обороны РФ</w:t>
      </w:r>
    </w:p>
    <w:p w:rsidR="00000000" w:rsidDel="00000000" w:rsidP="00000000" w:rsidRDefault="00000000" w:rsidRPr="00000000" w14:paraId="00000005">
      <w:pPr>
        <w:spacing w:line="360" w:lineRule="auto"/>
        <w:jc w:val="right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https://letters.mil.ru/electronic_reception/request/natural.htm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right"/>
        <w:rPr/>
      </w:pPr>
      <w:r w:rsidDel="00000000" w:rsidR="00000000" w:rsidRPr="00000000">
        <w:rPr>
          <w:rtl w:val="0"/>
        </w:rPr>
        <w:t xml:space="preserve">В Главную военную прокуратуру РФ</w:t>
      </w:r>
    </w:p>
    <w:p w:rsidR="00000000" w:rsidDel="00000000" w:rsidP="00000000" w:rsidRDefault="00000000" w:rsidRPr="00000000" w14:paraId="00000008">
      <w:pPr>
        <w:spacing w:line="360" w:lineRule="auto"/>
        <w:jc w:val="right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https://gvp.gov.ru/gvp/reception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right"/>
        <w:rPr/>
      </w:pPr>
      <w:r w:rsidDel="00000000" w:rsidR="00000000" w:rsidRPr="00000000">
        <w:rPr>
          <w:rtl w:val="0"/>
        </w:rPr>
        <w:t xml:space="preserve">Уполномоченному по правам человека в РФ</w:t>
      </w:r>
    </w:p>
    <w:p w:rsidR="00000000" w:rsidDel="00000000" w:rsidP="00000000" w:rsidRDefault="00000000" w:rsidRPr="00000000" w14:paraId="0000000B">
      <w:pPr>
        <w:spacing w:line="360" w:lineRule="auto"/>
        <w:jc w:val="right"/>
        <w:rPr/>
      </w:pPr>
      <w:r w:rsidDel="00000000" w:rsidR="00000000" w:rsidRPr="00000000">
        <w:rPr>
          <w:rtl w:val="0"/>
        </w:rPr>
        <w:t xml:space="preserve">https://ombudsmanrf.org/appeal</w:t>
      </w:r>
    </w:p>
    <w:p w:rsidR="00000000" w:rsidDel="00000000" w:rsidP="00000000" w:rsidRDefault="00000000" w:rsidRPr="00000000" w14:paraId="0000000C">
      <w:pPr>
        <w:spacing w:line="36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right"/>
        <w:rPr/>
      </w:pPr>
      <w:r w:rsidDel="00000000" w:rsidR="00000000" w:rsidRPr="00000000">
        <w:rPr>
          <w:rtl w:val="0"/>
        </w:rPr>
        <w:t xml:space="preserve">От ФИО и адрес для ответа</w:t>
      </w:r>
    </w:p>
    <w:p w:rsidR="00000000" w:rsidDel="00000000" w:rsidP="00000000" w:rsidRDefault="00000000" w:rsidRPr="00000000" w14:paraId="0000000E">
      <w:pPr>
        <w:spacing w:line="36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ЗАПРОС </w:t>
      </w:r>
    </w:p>
    <w:p w:rsidR="00000000" w:rsidDel="00000000" w:rsidP="00000000" w:rsidRDefault="00000000" w:rsidRPr="00000000" w14:paraId="00000010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о правовых основаниях для окончания мобилизационных мероприятий</w:t>
      </w:r>
    </w:p>
    <w:p w:rsidR="00000000" w:rsidDel="00000000" w:rsidP="00000000" w:rsidRDefault="00000000" w:rsidRPr="00000000" w14:paraId="00000011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Я, ФИО, являюсь военнослужащим по контракту. 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i w:val="1"/>
        </w:rPr>
      </w:pPr>
      <w:r w:rsidDel="00000000" w:rsidR="00000000" w:rsidRPr="00000000">
        <w:rPr>
          <w:rtl w:val="0"/>
        </w:rPr>
        <w:t xml:space="preserve">Срок моего контракта истек (истекает) </w:t>
      </w:r>
      <w:r w:rsidDel="00000000" w:rsidR="00000000" w:rsidRPr="00000000">
        <w:rPr>
          <w:i w:val="1"/>
          <w:rtl w:val="0"/>
        </w:rPr>
        <w:t xml:space="preserve">УКАЖИТЕ ДАТУ. </w:t>
      </w:r>
    </w:p>
    <w:p w:rsidR="00000000" w:rsidDel="00000000" w:rsidP="00000000" w:rsidRDefault="00000000" w:rsidRPr="00000000" w14:paraId="00000014">
      <w:pPr>
        <w:spacing w:line="360" w:lineRule="auto"/>
        <w:ind w:firstLine="720"/>
        <w:jc w:val="both"/>
        <w:rPr>
          <w:i w:val="1"/>
        </w:rPr>
      </w:pPr>
      <w:r w:rsidDel="00000000" w:rsidR="00000000" w:rsidRPr="00000000">
        <w:rPr>
          <w:rtl w:val="0"/>
        </w:rPr>
        <w:t xml:space="preserve">Однако в соответствии с требованиями пункта 4 Указа Президента Российской Федерации от 21.09.2022 года </w:t>
      </w:r>
      <w:r w:rsidDel="00000000" w:rsidR="00000000" w:rsidRPr="00000000">
        <w:rPr>
          <w:i w:val="1"/>
          <w:rtl w:val="0"/>
        </w:rPr>
        <w:t xml:space="preserve">“</w:t>
      </w:r>
      <w:r w:rsidDel="00000000" w:rsidR="00000000" w:rsidRPr="00000000">
        <w:rPr>
          <w:i w:val="1"/>
          <w:rtl w:val="0"/>
        </w:rPr>
        <w:t xml:space="preserve">контракты о прохождении военной службы, заключенные военнослужащими, </w:t>
      </w:r>
      <w:r w:rsidDel="00000000" w:rsidR="00000000" w:rsidRPr="00000000">
        <w:rPr>
          <w:b w:val="1"/>
          <w:i w:val="1"/>
          <w:rtl w:val="0"/>
        </w:rPr>
        <w:t xml:space="preserve">продолжают свое действие до окончания периода частичной мобилизации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&lt;...&gt;”.</w:t>
      </w:r>
    </w:p>
    <w:p w:rsidR="00000000" w:rsidDel="00000000" w:rsidP="00000000" w:rsidRDefault="00000000" w:rsidRPr="00000000" w14:paraId="00000015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1 ноября 2022 года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пресс-секретарь Президента РФ объявил</w:t>
        </w:r>
      </w:hyperlink>
      <w:r w:rsidDel="00000000" w:rsidR="00000000" w:rsidRPr="00000000">
        <w:rPr>
          <w:i w:val="1"/>
          <w:rtl w:val="0"/>
        </w:rPr>
        <w:t xml:space="preserve">,</w:t>
      </w:r>
      <w:r w:rsidDel="00000000" w:rsidR="00000000" w:rsidRPr="00000000">
        <w:rPr>
          <w:rtl w:val="0"/>
        </w:rPr>
        <w:t xml:space="preserve"> что </w:t>
      </w:r>
      <w:r w:rsidDel="00000000" w:rsidR="00000000" w:rsidRPr="00000000">
        <w:rPr>
          <w:rtl w:val="0"/>
        </w:rPr>
        <w:t xml:space="preserve">частичная мобилизация в стране завершена, отдельного указа, согласно заключению государственного правового управления администрации президента, не требуется.</w:t>
      </w:r>
    </w:p>
    <w:p w:rsidR="00000000" w:rsidDel="00000000" w:rsidP="00000000" w:rsidRDefault="00000000" w:rsidRPr="00000000" w14:paraId="00000016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В связи с вышеизложенным прошу разъяснить мне, прекращено ли с 1 ноября 2022 года действие пункта 4 Указа Президента Российской Федерации от 21.09.2022 года.</w:t>
      </w:r>
    </w:p>
    <w:p w:rsidR="00000000" w:rsidDel="00000000" w:rsidP="00000000" w:rsidRDefault="00000000" w:rsidRPr="00000000" w14:paraId="00000017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Прошу дать ответ по существу в установленный законом срок.</w:t>
      </w:r>
    </w:p>
    <w:p w:rsidR="00000000" w:rsidDel="00000000" w:rsidP="00000000" w:rsidRDefault="00000000" w:rsidRPr="00000000" w14:paraId="00000018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ДАТА</w:t>
      </w:r>
    </w:p>
    <w:p w:rsidR="00000000" w:rsidDel="00000000" w:rsidP="00000000" w:rsidRDefault="00000000" w:rsidRPr="00000000" w14:paraId="0000001A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ФИО и подпись</w:t>
      </w:r>
    </w:p>
    <w:p w:rsidR="00000000" w:rsidDel="00000000" w:rsidP="00000000" w:rsidRDefault="00000000" w:rsidRPr="00000000" w14:paraId="0000001C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  <w:t xml:space="preserve">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right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nterfax.ru/russia/870519" TargetMode="External"/><Relationship Id="rId5" Type="http://schemas.openxmlformats.org/officeDocument/2006/relationships/styles" Target="styles.xml"/><Relationship Id="rId6" Type="http://schemas.openxmlformats.org/officeDocument/2006/relationships/hyperlink" Target="http://letters.kremlin.ru/letters/send" TargetMode="External"/><Relationship Id="rId7" Type="http://schemas.openxmlformats.org/officeDocument/2006/relationships/hyperlink" Target="https://letters.mil.ru/electronic_reception/request/natural.htm" TargetMode="External"/><Relationship Id="rId8" Type="http://schemas.openxmlformats.org/officeDocument/2006/relationships/hyperlink" Target="https://gvp.gov.ru/gvp/recep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